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34" w:rsidRDefault="00386134" w:rsidP="003C2BF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C2BF4" w:rsidRDefault="003C2BF4" w:rsidP="003C2BF4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KQ-700GDV</w:t>
      </w:r>
    </w:p>
    <w:p w:rsidR="003C2BF4" w:rsidRDefault="003C2BF4" w:rsidP="003C2BF4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3C2BF4" w:rsidRDefault="003C2BF4" w:rsidP="003C2B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DBDB73" wp14:editId="1E7E96AF">
            <wp:simplePos x="0" y="0"/>
            <wp:positionH relativeFrom="column">
              <wp:posOffset>3434181</wp:posOffset>
            </wp:positionH>
            <wp:positionV relativeFrom="paragraph">
              <wp:posOffset>9246</wp:posOffset>
            </wp:positionV>
            <wp:extent cx="2667000" cy="17430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型号：KQ-700GDV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价格：76380元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3C2BF4" w:rsidRPr="006B576B" w:rsidRDefault="003C2BF4" w:rsidP="003C2B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6B576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3C2BF4" w:rsidRPr="005B19EB" w:rsidRDefault="003C2BF4" w:rsidP="003C2BF4">
      <w:pPr>
        <w:widowControl/>
        <w:jc w:val="left"/>
      </w:pPr>
    </w:p>
    <w:p w:rsidR="00F93FBC" w:rsidRPr="003C2BF4" w:rsidRDefault="00F93FBC" w:rsidP="003C2BF4"/>
    <w:sectPr w:rsidR="00F93FBC" w:rsidRPr="003C2BF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D2" w:rsidRDefault="00DB74D2" w:rsidP="005B7659">
      <w:r>
        <w:separator/>
      </w:r>
    </w:p>
  </w:endnote>
  <w:endnote w:type="continuationSeparator" w:id="0">
    <w:p w:rsidR="00DB74D2" w:rsidRDefault="00DB74D2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D2" w:rsidRDefault="00DB74D2" w:rsidP="005B7659">
      <w:r>
        <w:separator/>
      </w:r>
    </w:p>
  </w:footnote>
  <w:footnote w:type="continuationSeparator" w:id="0">
    <w:p w:rsidR="00DB74D2" w:rsidRDefault="00DB74D2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86134"/>
    <w:rsid w:val="0039652E"/>
    <w:rsid w:val="003C2BF4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B31B2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B74D2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76BA7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05407-ED68-4FFC-B770-C227299D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